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4BE" w:rsidRDefault="003034E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7224BE" w:rsidRDefault="003034E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7224BE" w:rsidRDefault="003034E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7224BE" w:rsidRDefault="007224BE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224BE" w:rsidRDefault="007224BE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7224BE" w:rsidRDefault="003034E7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7224BE" w:rsidRDefault="003034E7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III kwartał 2020 roku</w:t>
      </w:r>
    </w:p>
    <w:p w:rsidR="007224BE" w:rsidRDefault="003034E7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972"/>
        <w:gridCol w:w="6092"/>
      </w:tblGrid>
      <w:tr w:rsidR="007224BE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24BE" w:rsidRDefault="003034E7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7224BE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24BE" w:rsidRDefault="00F75C2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MINISTER KULTURY </w:t>
            </w:r>
            <w:r w:rsidR="003034E7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DZIEDZICTWA NARODOWEGO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i SPORTU</w:t>
            </w:r>
          </w:p>
        </w:tc>
      </w:tr>
      <w:bookmarkEnd w:id="0"/>
      <w:tr w:rsidR="007224BE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24BE" w:rsidRDefault="003034E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7224BE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24BE" w:rsidRDefault="003034E7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7224BE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24BE" w:rsidRDefault="003034E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7224BE" w:rsidRDefault="003034E7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7224BE" w:rsidRDefault="003034E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7224BE" w:rsidRDefault="003034E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7224BE" w:rsidRDefault="003034E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7224BE" w:rsidRDefault="007224BE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24BE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224BE" w:rsidRDefault="003034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24BE" w:rsidRDefault="003034E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7224BE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24BE" w:rsidRDefault="003034E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7224BE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224BE" w:rsidRDefault="003034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24BE" w:rsidRDefault="003034E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7224BE" w:rsidRDefault="003034E7">
      <w:pPr>
        <w:keepNext/>
        <w:keepLines/>
        <w:numPr>
          <w:ilvl w:val="0"/>
          <w:numId w:val="1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224BE" w:rsidRDefault="003034E7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>
        <w:rPr>
          <w:rFonts w:ascii="Arial" w:eastAsiaTheme="majorEastAsia" w:hAnsi="Arial" w:cs="Arial"/>
          <w:sz w:val="18"/>
          <w:szCs w:val="18"/>
        </w:rPr>
        <w:t>Nie dotyczy</w:t>
      </w:r>
    </w:p>
    <w:p w:rsidR="007224BE" w:rsidRDefault="003034E7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7224BE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224BE">
        <w:tc>
          <w:tcPr>
            <w:tcW w:w="2972" w:type="dxa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58,33%</w:t>
            </w:r>
          </w:p>
        </w:tc>
        <w:tc>
          <w:tcPr>
            <w:tcW w:w="3260" w:type="dxa"/>
          </w:tcPr>
          <w:p w:rsidR="007224BE" w:rsidRDefault="003034E7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30,16%</w:t>
            </w:r>
          </w:p>
          <w:p w:rsidR="007224BE" w:rsidRDefault="003034E7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11,70%</w:t>
            </w:r>
          </w:p>
        </w:tc>
        <w:tc>
          <w:tcPr>
            <w:tcW w:w="3402" w:type="dxa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61,05%</w:t>
            </w:r>
          </w:p>
        </w:tc>
      </w:tr>
    </w:tbl>
    <w:p w:rsidR="007224BE" w:rsidRDefault="007224BE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7224BE" w:rsidRDefault="007224BE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224BE" w:rsidRDefault="007224BE"/>
    <w:p w:rsidR="007224BE" w:rsidRDefault="003034E7">
      <w:pPr>
        <w:pStyle w:val="Nagwek3"/>
        <w:numPr>
          <w:ilvl w:val="0"/>
          <w:numId w:val="1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224BE" w:rsidRDefault="003034E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87"/>
        <w:gridCol w:w="1917"/>
        <w:gridCol w:w="2804"/>
      </w:tblGrid>
      <w:tr w:rsidR="007224BE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7224BE" w:rsidRDefault="003034E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7" w:type="dxa"/>
            <w:shd w:val="clear" w:color="auto" w:fill="D0CECE" w:themeFill="background2" w:themeFillShade="E6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7" w:type="dxa"/>
            <w:shd w:val="clear" w:color="auto" w:fill="D0CECE" w:themeFill="background2" w:themeFillShade="E6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224BE">
        <w:tc>
          <w:tcPr>
            <w:tcW w:w="2127" w:type="dxa"/>
          </w:tcPr>
          <w:p w:rsidR="007224BE" w:rsidRDefault="003034E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4" w:type="dxa"/>
            <w:shd w:val="clear" w:color="auto" w:fill="auto"/>
          </w:tcPr>
          <w:p w:rsidR="007224BE" w:rsidRDefault="007224B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7" w:type="dxa"/>
          </w:tcPr>
          <w:p w:rsidR="007224BE" w:rsidRDefault="003034E7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</w:tcPr>
          <w:p w:rsidR="007224BE" w:rsidRDefault="003034E7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an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7224BE">
        <w:tc>
          <w:tcPr>
            <w:tcW w:w="2127" w:type="dxa"/>
            <w:tcBorders>
              <w:top w:val="nil"/>
            </w:tcBorders>
          </w:tcPr>
          <w:p w:rsidR="007224BE" w:rsidRDefault="003034E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(wart. osiągnięta: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5461</w:t>
            </w:r>
            <w:r>
              <w:rPr>
                <w:rFonts w:cs="Arial"/>
                <w:color w:val="000000"/>
                <w:sz w:val="20"/>
                <w:szCs w:val="20"/>
              </w:rPr>
              <w:t>)</w:t>
            </w:r>
          </w:p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(wart.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osiągnięta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0</w:t>
            </w:r>
            <w:r>
              <w:rPr>
                <w:rFonts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7" w:type="dxa"/>
            <w:tcBorders>
              <w:top w:val="nil"/>
            </w:tcBorders>
          </w:tcPr>
          <w:p w:rsidR="007224BE" w:rsidRDefault="003034E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7224BE" w:rsidRDefault="007224BE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 oraz PL-CZ.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Planowana data realizacji 2020-09-01.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 w:rsidR="007224BE">
        <w:tc>
          <w:tcPr>
            <w:tcW w:w="2127" w:type="dxa"/>
            <w:tcBorders>
              <w:top w:val="nil"/>
            </w:tcBorders>
          </w:tcPr>
          <w:p w:rsidR="007224BE" w:rsidRDefault="003034E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PL-STab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(wart.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osiągnięta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300</w:t>
            </w:r>
            <w:r>
              <w:rPr>
                <w:rFonts w:cs="Arial"/>
                <w:color w:val="000000"/>
                <w:sz w:val="20"/>
                <w:szCs w:val="20"/>
              </w:rPr>
              <w:t>)</w:t>
            </w:r>
          </w:p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(wart.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osiągnięta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0</w:t>
            </w:r>
            <w:r>
              <w:rPr>
                <w:rFonts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7" w:type="dxa"/>
            <w:tcBorders>
              <w:top w:val="nil"/>
            </w:tcBorders>
          </w:tcPr>
          <w:p w:rsidR="007224BE" w:rsidRDefault="003034E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804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bookmarkStart w:id="1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1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F-Ppo. Otrzymano zgodę na zmiany, przygotowywany jest aneks do umowy.</w:t>
            </w:r>
          </w:p>
        </w:tc>
      </w:tr>
      <w:tr w:rsidR="007224BE">
        <w:tc>
          <w:tcPr>
            <w:tcW w:w="2127" w:type="dxa"/>
            <w:tcBorders>
              <w:top w:val="nil"/>
            </w:tcBorders>
          </w:tcPr>
          <w:p w:rsidR="007224BE" w:rsidRDefault="003034E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– 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(wart.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osiągnięta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7201</w:t>
            </w:r>
            <w:r>
              <w:rPr>
                <w:rFonts w:cs="Arial"/>
                <w:color w:val="000000"/>
                <w:sz w:val="20"/>
                <w:szCs w:val="20"/>
              </w:rPr>
              <w:t>)</w:t>
            </w:r>
          </w:p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(wart.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osiągnięta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0</w:t>
            </w:r>
            <w:r>
              <w:rPr>
                <w:rFonts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06-2021</w:t>
            </w:r>
          </w:p>
        </w:tc>
        <w:tc>
          <w:tcPr>
            <w:tcW w:w="1917" w:type="dxa"/>
            <w:tcBorders>
              <w:top w:val="nil"/>
            </w:tcBorders>
          </w:tcPr>
          <w:p w:rsidR="007224BE" w:rsidRDefault="007224BE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 w:rsidR="007224BE">
        <w:tc>
          <w:tcPr>
            <w:tcW w:w="2127" w:type="dxa"/>
            <w:tcBorders>
              <w:top w:val="nil"/>
            </w:tcBorders>
          </w:tcPr>
          <w:p w:rsidR="007224BE" w:rsidRDefault="003034E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7224BE" w:rsidRDefault="007224B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17" w:type="dxa"/>
            <w:tcBorders>
              <w:top w:val="nil"/>
            </w:tcBorders>
          </w:tcPr>
          <w:p w:rsidR="007224BE" w:rsidRDefault="007224BE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b/>
                <w:bCs/>
              </w:rPr>
            </w:pPr>
            <w:bookmarkStart w:id="2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bookmarkEnd w:id="2"/>
          </w:p>
        </w:tc>
      </w:tr>
      <w:tr w:rsidR="007224BE">
        <w:tc>
          <w:tcPr>
            <w:tcW w:w="2127" w:type="dxa"/>
            <w:tcBorders>
              <w:top w:val="nil"/>
            </w:tcBorders>
          </w:tcPr>
          <w:p w:rsidR="007224BE" w:rsidRDefault="003034E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7224BE" w:rsidRDefault="007224B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17" w:type="dxa"/>
            <w:tcBorders>
              <w:top w:val="nil"/>
            </w:tcBorders>
          </w:tcPr>
          <w:p w:rsidR="007224BE" w:rsidRDefault="007224BE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7224BE">
        <w:tc>
          <w:tcPr>
            <w:tcW w:w="2127" w:type="dxa"/>
            <w:tcBorders>
              <w:top w:val="nil"/>
            </w:tcBorders>
          </w:tcPr>
          <w:p w:rsidR="007224BE" w:rsidRDefault="003034E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7224BE" w:rsidRDefault="003034E7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(wart. osiągnięta 0)</w:t>
            </w:r>
          </w:p>
        </w:tc>
        <w:tc>
          <w:tcPr>
            <w:tcW w:w="128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17" w:type="dxa"/>
            <w:tcBorders>
              <w:top w:val="nil"/>
            </w:tcBorders>
          </w:tcPr>
          <w:p w:rsidR="007224BE" w:rsidRDefault="007224BE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Planowany</w:t>
            </w:r>
          </w:p>
        </w:tc>
      </w:tr>
      <w:tr w:rsidR="007224BE">
        <w:tc>
          <w:tcPr>
            <w:tcW w:w="2127" w:type="dxa"/>
            <w:tcBorders>
              <w:top w:val="nil"/>
            </w:tcBorders>
          </w:tcPr>
          <w:p w:rsidR="007224BE" w:rsidRDefault="003034E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7224BE" w:rsidRDefault="007224B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17" w:type="dxa"/>
            <w:tcBorders>
              <w:top w:val="nil"/>
            </w:tcBorders>
          </w:tcPr>
          <w:p w:rsidR="007224BE" w:rsidRDefault="007224BE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7224BE">
        <w:tc>
          <w:tcPr>
            <w:tcW w:w="2127" w:type="dxa"/>
            <w:tcBorders>
              <w:top w:val="nil"/>
            </w:tcBorders>
          </w:tcPr>
          <w:p w:rsidR="007224BE" w:rsidRDefault="003034E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7224BE" w:rsidRDefault="007224B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17" w:type="dxa"/>
            <w:tcBorders>
              <w:top w:val="nil"/>
            </w:tcBorders>
          </w:tcPr>
          <w:p w:rsidR="007224BE" w:rsidRDefault="007224BE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7224BE">
        <w:tc>
          <w:tcPr>
            <w:tcW w:w="2127" w:type="dxa"/>
            <w:tcBorders>
              <w:top w:val="nil"/>
            </w:tcBorders>
          </w:tcPr>
          <w:p w:rsidR="007224BE" w:rsidRDefault="003034E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7224BE" w:rsidRDefault="007224B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17" w:type="dxa"/>
            <w:tcBorders>
              <w:top w:val="nil"/>
            </w:tcBorders>
          </w:tcPr>
          <w:p w:rsidR="007224BE" w:rsidRDefault="007224BE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7224BE" w:rsidRDefault="003034E7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2"/>
        <w:gridCol w:w="1842"/>
        <w:gridCol w:w="1707"/>
        <w:gridCol w:w="2268"/>
      </w:tblGrid>
      <w:tr w:rsidR="007224BE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2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224BE">
        <w:tc>
          <w:tcPr>
            <w:tcW w:w="2545" w:type="dxa"/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2" w:type="dxa"/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224BE">
        <w:tc>
          <w:tcPr>
            <w:tcW w:w="2545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7201</w:t>
            </w:r>
          </w:p>
        </w:tc>
      </w:tr>
      <w:tr w:rsidR="007224BE">
        <w:tc>
          <w:tcPr>
            <w:tcW w:w="2545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224BE">
        <w:tc>
          <w:tcPr>
            <w:tcW w:w="2545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224BE">
        <w:tc>
          <w:tcPr>
            <w:tcW w:w="2545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bookmarkStart w:id="3" w:name="__DdeLink__1123_3556334849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03-2022</w:t>
            </w:r>
            <w:bookmarkEnd w:id="3"/>
          </w:p>
        </w:tc>
        <w:tc>
          <w:tcPr>
            <w:tcW w:w="2268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224BE">
        <w:tc>
          <w:tcPr>
            <w:tcW w:w="2545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224BE">
        <w:tc>
          <w:tcPr>
            <w:tcW w:w="2545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7. Rozmiar zdigitalizowanej informacji sektora publicznego</w:t>
            </w:r>
          </w:p>
        </w:tc>
        <w:tc>
          <w:tcPr>
            <w:tcW w:w="127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48,85</w:t>
            </w:r>
          </w:p>
        </w:tc>
      </w:tr>
      <w:tr w:rsidR="007224BE">
        <w:tc>
          <w:tcPr>
            <w:tcW w:w="2545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224BE">
        <w:tc>
          <w:tcPr>
            <w:tcW w:w="2545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7224BE" w:rsidRDefault="003034E7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7224BE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7224BE" w:rsidRDefault="003034E7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7224BE">
        <w:tc>
          <w:tcPr>
            <w:tcW w:w="2937" w:type="dxa"/>
          </w:tcPr>
          <w:p w:rsidR="007224BE" w:rsidRDefault="003034E7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32" w:type="dxa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4395" w:type="dxa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>N/d</w:t>
            </w:r>
          </w:p>
        </w:tc>
      </w:tr>
    </w:tbl>
    <w:p w:rsidR="007224BE" w:rsidRDefault="003034E7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7224BE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224BE">
        <w:tc>
          <w:tcPr>
            <w:tcW w:w="2937" w:type="dxa"/>
          </w:tcPr>
          <w:p w:rsidR="007224BE" w:rsidRDefault="003034E7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7224BE" w:rsidRDefault="007224B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</w:tcPr>
          <w:p w:rsidR="007224BE" w:rsidRDefault="003034E7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7224BE" w:rsidRDefault="007224B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</w:tcPr>
          <w:p w:rsidR="007224BE" w:rsidRDefault="007224B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</w:tcPr>
          <w:p w:rsidR="007224BE" w:rsidRDefault="003034E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7224BE" w:rsidRDefault="003034E7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7224BE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7224BE" w:rsidRDefault="003034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224BE" w:rsidRDefault="007224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24BE">
        <w:tc>
          <w:tcPr>
            <w:tcW w:w="2547" w:type="dxa"/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Portal „Dziedzictwo 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>Chopinowskie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polskiej w otwartym dostępie”</w:t>
            </w:r>
          </w:p>
        </w:tc>
        <w:tc>
          <w:tcPr>
            <w:tcW w:w="1700" w:type="dxa"/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</w:tcPr>
          <w:p w:rsidR="007224BE" w:rsidRDefault="007224B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</w:tcPr>
          <w:p w:rsidR="007224BE" w:rsidRDefault="003034E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Portale merytorycznie uzupełniają się. Dane dotyczące twórczości Chopina stanowić będą uzupełnienie danych wytworzonych w projekcie.</w:t>
            </w:r>
          </w:p>
        </w:tc>
      </w:tr>
      <w:tr w:rsidR="007224BE">
        <w:tc>
          <w:tcPr>
            <w:tcW w:w="254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RISM/VIAF</w:t>
            </w:r>
          </w:p>
        </w:tc>
        <w:tc>
          <w:tcPr>
            <w:tcW w:w="1700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7224BE" w:rsidRDefault="007224B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Komplementarność metadanych – metadane wytworzone w projekcie uzupełniają międzynarodową bazę RISM (Reperoite International des Sources Musicales) o unikatowe zbiory polskie. Całość metadanych projektowych zapisywana jest w bazie RISM i stamtąd zostają pobierane w celu prezentacji w portalu. Dzięki stosowaniu słownictwa kontrolowanego VIAF w bazie RISM osiągana jest także komplementarność względem VIAF.</w:t>
            </w:r>
          </w:p>
        </w:tc>
      </w:tr>
      <w:tr w:rsidR="007224BE">
        <w:tc>
          <w:tcPr>
            <w:tcW w:w="254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WikiMedia</w:t>
            </w:r>
          </w:p>
        </w:tc>
        <w:tc>
          <w:tcPr>
            <w:tcW w:w="1700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7224BE" w:rsidRDefault="007224B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Wybrane dane wytworzone w projekcie zostaną udostępnione także za pośred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nictwem WikiMedia, co umożliwi ich wykorzystanie w serwisach takich, jak Wikipedia.</w:t>
            </w:r>
          </w:p>
        </w:tc>
      </w:tr>
      <w:tr w:rsidR="007224BE">
        <w:tc>
          <w:tcPr>
            <w:tcW w:w="254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IMSLP</w:t>
            </w:r>
          </w:p>
        </w:tc>
        <w:tc>
          <w:tcPr>
            <w:tcW w:w="1700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7224BE" w:rsidRDefault="007224B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Transkrypcje dzieł muzyki polskiej w formacie otwartotekstowym Humdrum oraz w formie plików pdf zostaną udostępnione na platformie IMSLP stanowiącej największą na świecie cyfrową kolekcję nut.</w:t>
            </w:r>
          </w:p>
        </w:tc>
      </w:tr>
      <w:tr w:rsidR="007224BE">
        <w:tc>
          <w:tcPr>
            <w:tcW w:w="254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Zenodo/OpenAire</w:t>
            </w:r>
          </w:p>
        </w:tc>
        <w:tc>
          <w:tcPr>
            <w:tcW w:w="1700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7224BE" w:rsidRDefault="007224B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Transkrypcje dzieł muzyki polskiej w formacie otwartotekstowym Humdrum oraz w formie plików pdf udostępnione za pośrednictwem serwisu GitHub (z wbudowaną kontrolą wersji plików) do repozytorium danych naukowych Zenodo i za jego pośrednictwem zindeksowane w OpenAire.</w:t>
            </w:r>
          </w:p>
        </w:tc>
      </w:tr>
      <w:tr w:rsidR="007224BE">
        <w:tc>
          <w:tcPr>
            <w:tcW w:w="2547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FBC/Europeana</w:t>
            </w:r>
          </w:p>
        </w:tc>
        <w:tc>
          <w:tcPr>
            <w:tcW w:w="1700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7224BE" w:rsidRDefault="007224B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7224BE" w:rsidRDefault="003034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Dane wraz z metadanymi zostaną udostępnione w serwisie Federacji Bibliotek Cyfrowych (FBC) oraz za jego pośrednictwem w portalu Europeana.</w:t>
            </w:r>
          </w:p>
        </w:tc>
      </w:tr>
    </w:tbl>
    <w:p w:rsidR="007224BE" w:rsidRDefault="003034E7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224BE" w:rsidRDefault="003034E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8"/>
        <w:gridCol w:w="1694"/>
        <w:gridCol w:w="2132"/>
        <w:gridCol w:w="2404"/>
      </w:tblGrid>
      <w:tr w:rsidR="007224BE">
        <w:trPr>
          <w:tblHeader/>
        </w:trPr>
        <w:tc>
          <w:tcPr>
            <w:tcW w:w="3267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4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2" w:type="dxa"/>
            <w:shd w:val="clear" w:color="auto" w:fill="D0CECE" w:themeFill="background2" w:themeFillShade="E6"/>
          </w:tcPr>
          <w:p w:rsidR="007224BE" w:rsidRDefault="003034E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4" w:type="dxa"/>
            <w:shd w:val="clear" w:color="auto" w:fill="D0CECE" w:themeFill="background2" w:themeFillShade="E6"/>
            <w:vAlign w:val="center"/>
          </w:tcPr>
          <w:p w:rsidR="007224BE" w:rsidRDefault="003034E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224BE">
        <w:tc>
          <w:tcPr>
            <w:tcW w:w="3267" w:type="dxa"/>
            <w:vAlign w:val="center"/>
          </w:tcPr>
          <w:p w:rsidR="007224BE" w:rsidRDefault="003034E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Ryzyko związane z realizacją harmonogramu: digitalizacja</w:t>
            </w:r>
          </w:p>
        </w:tc>
        <w:tc>
          <w:tcPr>
            <w:tcW w:w="1694" w:type="dxa"/>
          </w:tcPr>
          <w:p w:rsidR="007224BE" w:rsidRDefault="003034E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32" w:type="dxa"/>
          </w:tcPr>
          <w:p w:rsidR="007224BE" w:rsidRDefault="003034E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04" w:type="dxa"/>
          </w:tcPr>
          <w:p w:rsidR="007224BE" w:rsidRDefault="003034E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W związku z sytuacja epidemiologiczną wstrzymano w pierwszym kwartale wszystkie prace digitalizacyjne z uwagi na zamknięcie dostępu do zbiorów. W drugim kwartale powrócono do realizacji prac. Ryzyko to wpłynie na termin realizacji zadania 2 "Digitalizacja kolekcji muzykaliów". </w:t>
            </w:r>
            <w:r>
              <w:rPr>
                <w:rFonts w:cstheme="minorHAnsi"/>
                <w:color w:val="000000"/>
              </w:rPr>
              <w:t xml:space="preserve">Działania zarządcze: wniosek o zmianę terminu realizacji kamienia milowego. Wniosek został zaakceptowany – przygotowywany jest aneks do umowy. Spodziewane efekty: pełna realizacja zadania. Nastąpiła zmiana w stosunku do poprzedniego okresu </w:t>
            </w:r>
            <w:r>
              <w:rPr>
                <w:rFonts w:cstheme="minorHAnsi"/>
                <w:color w:val="000000"/>
              </w:rPr>
              <w:lastRenderedPageBreak/>
              <w:t>sprawozdawczego – ryzyko zostało zminimalizowane.</w:t>
            </w:r>
          </w:p>
        </w:tc>
      </w:tr>
    </w:tbl>
    <w:p w:rsidR="007224BE" w:rsidRDefault="003034E7">
      <w:pPr>
        <w:spacing w:before="240" w:after="120"/>
        <w:rPr>
          <w:rFonts w:cstheme="minorHAnsi"/>
          <w:b/>
        </w:rPr>
      </w:pPr>
      <w:r>
        <w:rPr>
          <w:rFonts w:cstheme="minorHAnsi"/>
          <w:b/>
        </w:rPr>
        <w:lastRenderedPageBreak/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4"/>
        <w:gridCol w:w="1695"/>
        <w:gridCol w:w="2298"/>
        <w:gridCol w:w="2633"/>
      </w:tblGrid>
      <w:tr w:rsidR="007224BE">
        <w:trPr>
          <w:trHeight w:val="724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224BE" w:rsidRDefault="003034E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224BE" w:rsidRDefault="003034E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224BE" w:rsidRDefault="003034E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224BE" w:rsidRDefault="003034E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7224BE">
        <w:trPr>
          <w:trHeight w:val="724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4BE" w:rsidRDefault="003034E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Na obecnym etapie realizacji nie stwierdzono ryzyk w zakresie utrzymania efektów projektu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24BE" w:rsidRDefault="007224B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24BE" w:rsidRDefault="007224B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24BE" w:rsidRDefault="007224B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7224BE" w:rsidRDefault="003034E7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224BE" w:rsidRDefault="003034E7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n/d</w:t>
      </w:r>
    </w:p>
    <w:p w:rsidR="007224BE" w:rsidRDefault="003034E7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7224BE" w:rsidRDefault="003034E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7224BE" w:rsidRDefault="003034E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7224BE" w:rsidRDefault="003034E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7224BE" w:rsidRDefault="003034E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7224BE" w:rsidRDefault="007224BE">
      <w:pPr>
        <w:spacing w:after="0"/>
        <w:jc w:val="both"/>
        <w:rPr>
          <w:rFonts w:ascii="Arial" w:hAnsi="Arial" w:cs="Arial"/>
        </w:rPr>
      </w:pPr>
    </w:p>
    <w:p w:rsidR="007224BE" w:rsidRDefault="003034E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7224BE" w:rsidRDefault="003034E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7224BE" w:rsidRDefault="003034E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7224BE" w:rsidRDefault="003034E7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sectPr w:rsidR="007224BE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429" w:rsidRDefault="00B16429">
      <w:pPr>
        <w:spacing w:after="0" w:line="240" w:lineRule="auto"/>
      </w:pPr>
      <w:r>
        <w:separator/>
      </w:r>
    </w:p>
  </w:endnote>
  <w:endnote w:type="continuationSeparator" w:id="0">
    <w:p w:rsidR="00B16429" w:rsidRDefault="00B16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3712639"/>
      <w:docPartObj>
        <w:docPartGallery w:val="Page Numbers (Top of Page)"/>
        <w:docPartUnique/>
      </w:docPartObj>
    </w:sdtPr>
    <w:sdtEndPr/>
    <w:sdtContent>
      <w:p w:rsidR="007224BE" w:rsidRDefault="003034E7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75C25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7224BE" w:rsidRDefault="007224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429" w:rsidRDefault="00B16429">
      <w:pPr>
        <w:rPr>
          <w:sz w:val="12"/>
        </w:rPr>
      </w:pPr>
      <w:r>
        <w:separator/>
      </w:r>
    </w:p>
  </w:footnote>
  <w:footnote w:type="continuationSeparator" w:id="0">
    <w:p w:rsidR="00B16429" w:rsidRDefault="00B16429">
      <w:pPr>
        <w:rPr>
          <w:sz w:val="12"/>
        </w:rPr>
      </w:pPr>
      <w:r>
        <w:continuationSeparator/>
      </w:r>
    </w:p>
  </w:footnote>
  <w:footnote w:id="1">
    <w:p w:rsidR="007224BE" w:rsidRDefault="003034E7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16F86"/>
    <w:multiLevelType w:val="multilevel"/>
    <w:tmpl w:val="670CB7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F061173"/>
    <w:multiLevelType w:val="multilevel"/>
    <w:tmpl w:val="4B78C0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BE"/>
    <w:rsid w:val="003034E7"/>
    <w:rsid w:val="007224BE"/>
    <w:rsid w:val="00A924E7"/>
    <w:rsid w:val="00B16429"/>
    <w:rsid w:val="00F7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77BA"/>
  <w15:docId w15:val="{31ECBF1A-A584-4032-A7CA-5427BB7A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uiPriority w:val="99"/>
    <w:rsid w:val="005861B3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F24BD-D152-41B3-A64C-CBC107765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1143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4</cp:revision>
  <dcterms:created xsi:type="dcterms:W3CDTF">2021-01-19T07:18:00Z</dcterms:created>
  <dcterms:modified xsi:type="dcterms:W3CDTF">2021-01-19T14:22:00Z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